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_rels/chart1.xml.rels" ContentType="application/vnd.openxmlformats-package.relationships+xml"/>
  <Override PartName="/word/charts/_rels/chart2.xml.rels" ContentType="application/vnd.openxmlformats-package.relationships+xml"/>
  <Override PartName="/word/charts/_rels/chart3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embeddings/_____Microsoft_Excel3.xlsx" ContentType="application/vnd.openxmlformats-officedocument.spreadsheetml.sheet"/>
  <Override PartName="/word/embeddings/_____Microsoft_Excel2.xlsx" ContentType="application/vnd.openxmlformats-officedocument.spreadsheetml.sheet"/>
  <Override PartName="/word/embeddings/_____Microsoft_Excel1.xlsx" ContentType="application/vnd.openxmlformats-officedocument.spreadsheetml.sheet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Отчет об исполнении бюджета Кировского сельского поселения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Светлоярского муниципального района Волгоградской области</w:t>
      </w:r>
    </w:p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за 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квартал 2024 года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текущем году исполнение местного бюджета осуществлялось в рамках мероприятий, направленных на сохранение стабильности финансовой системы поселения. Основными задачами деятельности по исполнению бюджета являлось укрепление доходной базы, обеспечение стабильного финансирования первоочередных обязательств бюджета, экономия и оптимизация бюджетных расходов.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2"/>
          <w:szCs w:val="26"/>
        </w:rPr>
      </w:pPr>
      <w:r>
        <w:rPr>
          <w:sz w:val="22"/>
          <w:szCs w:val="26"/>
        </w:rPr>
      </w:r>
    </w:p>
    <w:p>
      <w:pPr>
        <w:pStyle w:val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Основными итогами исполнения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квартал 2024 года являются:</w:t>
      </w:r>
    </w:p>
    <w:p>
      <w:pPr>
        <w:pStyle w:val="Normal"/>
        <w:rPr/>
      </w:pPr>
      <w:r>
        <w:rPr/>
      </w:r>
    </w:p>
    <w:tbl>
      <w:tblPr>
        <w:tblW w:w="907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69"/>
        <w:gridCol w:w="4602"/>
      </w:tblGrid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Исполнение (тыс. рублей)</w:t>
            </w:r>
          </w:p>
        </w:tc>
      </w:tr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5 101,1</w:t>
            </w:r>
          </w:p>
        </w:tc>
      </w:tr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6 820,7</w:t>
            </w:r>
          </w:p>
        </w:tc>
      </w:tr>
      <w:tr>
        <w:trPr>
          <w:trHeight w:val="172" w:hRule="atLeast"/>
        </w:trPr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Дефицит ( - )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- 1 719,6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Доходы бюджета поселения</w:t>
      </w:r>
    </w:p>
    <w:p>
      <w:pPr>
        <w:pStyle w:val="Normal"/>
        <w:jc w:val="center"/>
        <w:rPr>
          <w:b/>
          <w:b/>
          <w:sz w:val="22"/>
          <w:szCs w:val="26"/>
        </w:rPr>
      </w:pPr>
      <w:r>
        <w:rPr>
          <w:b/>
          <w:sz w:val="22"/>
          <w:szCs w:val="26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бюджет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квартал 2024 года поступило доходов в сумме 5 101,1 тыс. рублей. Исполнение годовых бюджетных назначений составило 8,6%. По сравнению с аналогичным периодом прошлого года поступление доходов увеличилось на 660,9 тыс. рублей или на 14,9%.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Наибольший удельный вес в структуре доходов бюджета Кировского сельского поселения, поступивших в бюджет за I квартал текущего финансового года, приходится на собственные доходы (налоговые и неналоговые доходы) 58,0%, на безвозмездные поступления 42,0% от общей суммы поступивших доходов.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Структура собственных доходов бюджета Кировского сельского поселения, сложившаяся по состоянию на 01.04.2024 года, представлена на рис.1.</w:t>
      </w:r>
      <w:r>
        <w:rPr/>
        <w:drawing>
          <wp:inline distT="0" distB="0" distL="0" distR="0">
            <wp:extent cx="5549900" cy="1972310"/>
            <wp:effectExtent l="0" t="0" r="0" b="0"/>
            <wp:docPr id="1" name="Врезка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</w:r>
    </w:p>
    <w:p>
      <w:pPr>
        <w:pStyle w:val="Normal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Рис.1: Структура собственных доходов бюджета Кировского сельского поселения на 01.04.2024 года</w:t>
      </w:r>
    </w:p>
    <w:p>
      <w:pPr>
        <w:pStyle w:val="Normal"/>
        <w:ind w:firstLine="709"/>
        <w:jc w:val="center"/>
        <w:rPr>
          <w:b/>
          <w:b/>
          <w:sz w:val="22"/>
          <w:szCs w:val="24"/>
        </w:rPr>
      </w:pPr>
      <w:r>
        <w:rPr>
          <w:b/>
          <w:sz w:val="22"/>
          <w:szCs w:val="24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Фактическое поступление налоговых и неналоговых доходов за </w:t>
      </w:r>
      <w:r>
        <w:rPr>
          <w:rFonts w:ascii="Calibri" w:hAnsi="Calibri"/>
          <w:sz w:val="26"/>
          <w:szCs w:val="26"/>
        </w:rPr>
        <w:t>I</w:t>
      </w:r>
      <w:r>
        <w:rPr>
          <w:sz w:val="26"/>
          <w:szCs w:val="26"/>
        </w:rPr>
        <w:t xml:space="preserve"> квартал 2024 года составило 2 957,6 тыс. рублей, плановые назначения исполнены на 5,9%. По сравнению с аналогичным периодом прошлого года поступления увеличились на 686,3 тыс. рублей или на 30,2%.</w:t>
      </w:r>
    </w:p>
    <w:p>
      <w:pPr>
        <w:pStyle w:val="Normal"/>
        <w:ind w:firstLine="567"/>
        <w:jc w:val="both"/>
        <w:rPr>
          <w:szCs w:val="26"/>
        </w:rPr>
      </w:pPr>
      <w:r>
        <w:rPr>
          <w:b/>
          <w:sz w:val="26"/>
          <w:szCs w:val="26"/>
        </w:rPr>
        <w:t xml:space="preserve">Налог на доходы физических лиц </w:t>
      </w:r>
      <w:r>
        <w:rPr>
          <w:sz w:val="26"/>
          <w:szCs w:val="26"/>
        </w:rPr>
        <w:t>поступил в сумме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1 750,5 тыс. рублей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или 59,2% в общей сумме собственных доходов. Годовые бюджетные назначения исполнены на 15,4%. По сравнению с аналогичным периодом прошлого года поступления увеличились на 327,5 тыс. рублей или на 23,0%.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Поступление </w:t>
      </w:r>
      <w:r>
        <w:rPr>
          <w:b/>
          <w:sz w:val="26"/>
          <w:szCs w:val="26"/>
        </w:rPr>
        <w:t>акцизов по подакцизным товарам (продукции), производимым на территории РФ</w:t>
      </w:r>
      <w:r>
        <w:rPr>
          <w:sz w:val="26"/>
          <w:szCs w:val="26"/>
        </w:rPr>
        <w:t>, составило 399,0 тыс. рублей или 13,5% в общей сумме собственных доходов.  Годовые бюджетные назначения исполнены на 25,4%. По сравнению с аналогичным периодом прошлого года поступления уменьшились на 0,4 тыс. рублей или на 0,1%.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Единый сельскохозяйственный налог</w:t>
      </w:r>
      <w:r>
        <w:rPr>
          <w:sz w:val="26"/>
          <w:szCs w:val="26"/>
        </w:rPr>
        <w:t xml:space="preserve"> составил 15,7 тыс. рублей или 0,5% в общей сумме собственных доходов. Годовые бюджетные назначения исполнены на 392,5%. По сравнению с аналогичным периодом прошлого года поступления увеличились на 1,7 тыс. рублей или на 12,1%.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Налоги на имущество,</w:t>
      </w:r>
      <w:r>
        <w:rPr>
          <w:sz w:val="26"/>
          <w:szCs w:val="26"/>
        </w:rPr>
        <w:t xml:space="preserve"> которые составили 16,7% от доли собственных доходов, поступили  в сумме 494,8 тыс. рублей, бюджетные назначения исполнены на 1,4%, а именно: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- налог на имущество физических лиц</w:t>
      </w:r>
      <w:r>
        <w:rPr>
          <w:sz w:val="26"/>
          <w:szCs w:val="26"/>
        </w:rPr>
        <w:t xml:space="preserve"> поступил в сумме 57,3 тыс. рублей, бюджетные назначения исполнены на 9,5%. По сравнению с аналогичным периодом прошлого года поступления увеличились на 92,6 тыс. рублей или на 262,3%.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- земельный налог</w:t>
      </w:r>
      <w:r>
        <w:rPr>
          <w:sz w:val="26"/>
          <w:szCs w:val="26"/>
        </w:rPr>
        <w:t xml:space="preserve"> поступил в сумме 437,5 тыс. рублей, бюджетные назначения исполнены на 1,2%. По сравнению с аналогичным периодом прошлого года поступления увеличились на 271,7 тыс. рублей или в 2,6 раза.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  <w:r>
        <w:rPr>
          <w:sz w:val="26"/>
          <w:szCs w:val="26"/>
        </w:rPr>
        <w:t>, поступили в сумме 185,5 тыс. рублей или 6,3% в общей сумме собственных доходов. Годовые бюджетные назначения исполнены на 43,6%, а именно - доходы от сдачи в аренду имущества, находящегося в оперативном управлении органов управления поселений и созданных ими учреждений. По сравнению с аналогичным периодом прошлого года поступления остались на том же уровне.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Доходы от оказания платных услуг и компенсации затрат государства</w:t>
      </w:r>
      <w:r>
        <w:rPr>
          <w:sz w:val="26"/>
          <w:szCs w:val="26"/>
        </w:rPr>
        <w:t xml:space="preserve"> поступили в сумме 54,7 тыс. рублей, бюджетные назначения не утверждались,  от общих собственных доходов составили 1,9%, а именно: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прочие доходы от оказания платных услуг (работ) получателями средств бюджетов сельских поселений - 9,1 тыс. рублей;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прочие доходы от компенсации затрат бюджетов сельских поселений - 45,6 тыс. рублей.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Штрафы, санкции, возмещение ущерба</w:t>
      </w:r>
      <w:r>
        <w:rPr>
          <w:sz w:val="26"/>
          <w:szCs w:val="26"/>
        </w:rPr>
        <w:t xml:space="preserve"> поступили в сумме 57,4 тыс. рублей, годовые бюджетные назначения не утверждались, от общих собственных доходов составили 1,9%, а именно: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контроля, поступили в сумме 2,0 тыс. рублей, по сравнению с аналогичным периодом прошлого года поступления увеличились на 2,0 тыс. рублей;</w:t>
      </w:r>
    </w:p>
    <w:p>
      <w:pPr>
        <w:pStyle w:val="Normal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sz w:val="26"/>
          <w:szCs w:val="26"/>
        </w:rPr>
        <w:t>-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бюджете, поступили в сумме 55,4 тыс. рублей. По сравнению с аналогичным периодом прошлого года поступления уменьшились на 63,5 тыс. рублей или на 53,4%.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Безвозмездных поступлений</w:t>
      </w:r>
      <w:r>
        <w:rPr>
          <w:sz w:val="26"/>
          <w:szCs w:val="26"/>
        </w:rPr>
        <w:t xml:space="preserve"> за I квартал 2024 года получено в сумме 2 143,5 тыс. рублей. Годовые бюджетные назначения исполнены на 23,8%, в том числе: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дотация на выравнивание бюджетной обеспеченности – 2 095,5 тыс. рублей;</w:t>
      </w:r>
    </w:p>
    <w:p>
      <w:pPr>
        <w:pStyle w:val="Normal"/>
        <w:ind w:firstLine="709"/>
        <w:rPr>
          <w:sz w:val="26"/>
          <w:szCs w:val="26"/>
        </w:rPr>
      </w:pPr>
      <w:r>
        <w:rPr>
          <w:sz w:val="26"/>
          <w:szCs w:val="26"/>
        </w:rPr>
        <w:t>- субвенции бюджетам бюджетной системы Российской Федерации – 43,0 тыс. рублей, в том числе: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субвенция на осуществление первичного воинского учёта – 37,8 тыс. рублей; 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субвенция на обеспечение деятельности административной комиссии – 5,2 тыс. рублей;</w:t>
      </w:r>
    </w:p>
    <w:p>
      <w:pPr>
        <w:pStyle w:val="Normal"/>
        <w:ind w:firstLine="709"/>
        <w:rPr>
          <w:sz w:val="26"/>
          <w:szCs w:val="26"/>
        </w:rPr>
      </w:pPr>
      <w:r>
        <w:rPr>
          <w:sz w:val="26"/>
          <w:szCs w:val="26"/>
        </w:rPr>
        <w:t>- иные межбюджетные трансферты – 5,0 тыс. рублей.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2"/>
          <w:szCs w:val="26"/>
        </w:rPr>
      </w:pPr>
      <w:r>
        <w:rPr>
          <w:sz w:val="22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Расходы бюджета поселения</w:t>
      </w:r>
    </w:p>
    <w:p>
      <w:pPr>
        <w:pStyle w:val="Normal"/>
        <w:jc w:val="center"/>
        <w:rPr>
          <w:b/>
          <w:b/>
          <w:sz w:val="18"/>
          <w:szCs w:val="26"/>
        </w:rPr>
      </w:pPr>
      <w:r>
        <w:rPr>
          <w:b/>
          <w:sz w:val="18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Расходы бюджета Кировского сельского поселения по ГРБС                    </w:t>
      </w:r>
      <w:r>
        <w:rPr>
          <w:b/>
          <w:sz w:val="26"/>
          <w:szCs w:val="26"/>
        </w:rPr>
        <w:t xml:space="preserve">950 «Администрация Кировского сельского поселения» </w:t>
      </w:r>
      <w:r>
        <w:rPr>
          <w:sz w:val="26"/>
          <w:szCs w:val="26"/>
        </w:rPr>
        <w:t xml:space="preserve">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квартал 2024 года составили 6 820,7 тыс. рублей. Годовые плановые назначения исполнены на     11,6%.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квартал      2024 года по разделам бюджетной классификации характеризуется следующими данными: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908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83"/>
        <w:gridCol w:w="1843"/>
        <w:gridCol w:w="1559"/>
        <w:gridCol w:w="1701"/>
      </w:tblGrid>
      <w:tr>
        <w:trPr>
          <w:trHeight w:val="578" w:hRule="atLeast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 на 2024 год,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Исполнение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01.04.2024,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% исполнения годового плана</w:t>
            </w:r>
          </w:p>
        </w:tc>
      </w:tr>
      <w:tr>
        <w:trPr>
          <w:trHeight w:val="253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>
          <w:trHeight w:val="25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7 221,8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1 642,0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</w:t>
            </w:r>
          </w:p>
        </w:tc>
      </w:tr>
      <w:tr>
        <w:trPr>
          <w:trHeight w:val="282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436,0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>
        <w:trPr>
          <w:trHeight w:val="35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2 435,6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349,8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</w:tr>
      <w:tr>
        <w:trPr>
          <w:trHeight w:val="21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22 830,0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935,9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>
        <w:trPr>
          <w:trHeight w:val="247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14 292,1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1 499,6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</w:tr>
      <w:tr>
        <w:trPr>
          <w:trHeight w:val="237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325,5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226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10 126,6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2 149,3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</w:p>
        </w:tc>
      </w:tr>
      <w:tr>
        <w:trPr>
          <w:trHeight w:val="231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713,7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>
        <w:trPr>
          <w:trHeight w:val="221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647,3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</w:tr>
      <w:tr>
        <w:trPr>
          <w:trHeight w:val="239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59 028,6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6 820,7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11,6</w:t>
            </w:r>
          </w:p>
        </w:tc>
      </w:tr>
    </w:tbl>
    <w:p>
      <w:pPr>
        <w:pStyle w:val="Normal"/>
        <w:ind w:firstLine="709"/>
        <w:jc w:val="both"/>
        <w:rPr>
          <w:sz w:val="18"/>
        </w:rPr>
      </w:pPr>
      <w:r>
        <w:rPr>
          <w:sz w:val="18"/>
        </w:rPr>
      </w:r>
    </w:p>
    <w:p>
      <w:pPr>
        <w:pStyle w:val="Normal"/>
        <w:spacing w:lineRule="exact" w:line="298"/>
        <w:ind w:left="20" w:right="20" w:firstLine="72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Структура исполнения расходов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квартал 2024 года по разделам классификации бюджета  представлена на рис. 2.</w:t>
      </w:r>
    </w:p>
    <w:p>
      <w:pPr>
        <w:pStyle w:val="Normal"/>
        <w:spacing w:lineRule="exact" w:line="298"/>
        <w:ind w:left="20" w:right="20" w:firstLine="72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bookmarkStart w:id="0" w:name="_MON_1458473227"/>
      <w:bookmarkStart w:id="1" w:name="_MON_1458472840"/>
      <w:bookmarkStart w:id="2" w:name="_MON_1458469938"/>
      <w:bookmarkEnd w:id="0"/>
      <w:bookmarkEnd w:id="1"/>
      <w:bookmarkEnd w:id="2"/>
      <w:r>
        <w:rPr/>
        <w:drawing>
          <wp:inline distT="0" distB="0" distL="0" distR="0">
            <wp:extent cx="5517515" cy="2329815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"/>
              </a:graphicData>
            </a:graphic>
          </wp:inline>
        </w:drawing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Рис. 2. Структура расходов бюджета Кировского сельского поселения за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квартал 2024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>
      <w:pPr>
        <w:pStyle w:val="Normal"/>
        <w:spacing w:lineRule="exact" w:line="302"/>
        <w:ind w:left="20" w:right="20" w:firstLine="720"/>
        <w:jc w:val="both"/>
        <w:rPr>
          <w:sz w:val="18"/>
          <w:szCs w:val="26"/>
        </w:rPr>
      </w:pPr>
      <w:r>
        <w:rPr>
          <w:sz w:val="18"/>
          <w:szCs w:val="26"/>
        </w:rPr>
      </w:r>
    </w:p>
    <w:p>
      <w:pPr>
        <w:pStyle w:val="1"/>
        <w:shd w:val="clear" w:color="auto" w:fill="auto"/>
        <w:spacing w:lineRule="auto" w:line="240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В разрезе разделов бюджетной классификации исполнение бюджета по расходам следующее.</w:t>
      </w:r>
    </w:p>
    <w:p>
      <w:pPr>
        <w:pStyle w:val="Normal"/>
        <w:spacing w:lineRule="exact" w:line="302"/>
        <w:ind w:left="20" w:right="20" w:firstLine="720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b/>
          <w:sz w:val="26"/>
          <w:szCs w:val="26"/>
        </w:rPr>
        <w:t xml:space="preserve">0100 «Общегосударственные вопросы» </w:t>
      </w:r>
      <w:r>
        <w:rPr>
          <w:sz w:val="26"/>
          <w:szCs w:val="26"/>
        </w:rPr>
        <w:t xml:space="preserve">расходы составили 1 642,0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тыс. рублей или 24,1% в общей сумме расходов. План годовых назначений выполнен на 22,7%. По подразделам расходы следующие: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0102 «Функционирование высшего должностного лица субъекта Российской Федерации и муниципального образования» - 255,1 тыс. рублей, план годовых назначений выполнен на 26,6%;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- 1 045,8 тыс. рублей, план годовых назначений выполнен на 27,1%;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0106 «Обеспечение деятельности финансовых, налоговых и таможенных органов и органов финансового (финансово-бюджетного) надзора» - 25,9 тыс. рублей, план годовых назначений выполнен на 25,7%;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0107 «Обеспечение проведения выборов и референдумов» - при плановых назначениях в сумме 479,8 тыс. рублей расходы не производились;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0111 «Резервные фонды» - при плановых назначениях в сумме 111,0 тыс. рублей расходы не производились;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0113 «Другие общегосударственные вопросы» - 315,2 тыс. рублей, план годовых назначений выполнен на 18,4%.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0200 «Национальная оборона»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(подраздел 0203 «Мобилизационная и вневойсковая подготовка») расходы составили 37,8 тыс. рублей или 0,6% в общей сумме расходов. План годовых назначений выполнен на 8,7%.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0300 «Национальная безопасность и правоохранительная деятельность»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 xml:space="preserve">расходы составили 349,8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тыс. рублей или 5,1% в общей сумме расходов. План годовых назначений выполнен на 14,4%. По подразделам расходы следующие: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0309 «Гражданская оборона» - 6,1 тыс. рублей, план годовых назначений выполнен на 61,0%;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0310 «Защита населения и территории от чрезвычайных ситуаций природного и техногенного характера, пожарная безопасность» -   332,2 тыс. рублей, план годовых назначений выполнен на 14,0%;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по подразделу 0314 «Другие вопросы в области национальной безопасности и правоохранительной деятельности» - 11,5 тыс. рублей, план годовых назначений выполнен на 24,9%.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0400 «Национальная экономика»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расходы составили      935,9 тыс. рублей или 13,7% в общей сумме расходов. План годовых назначений выполнен на 4,1%.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0409 «Дорожное хозяйство (дорожные фонды)» -        935,9 тыс. рублей, план годовых назначений выполнен на 4,2%;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0412 «Другие вопросы в области национальной экономики» - при плановых назначениях в сумме 503,4 тыс. рублей расходы не производились.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 xml:space="preserve">0500 «Жилищно-коммунальное хозяйство»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расходы составили 1 499,6 тыс. рублей, что составляет 22, % в общей сумме расходов. План годовых назначений по разделу выполнен на 10,5%.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0501 «Жилищное хозяйство» - 11,4 тыс. рублей план годовых назначений выполнен на 12,5%;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0503 «Благоустройство» - 1 488,2 тыс. рублей, план годовых назначений выполнен на 10,5%.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0700 «О</w:t>
      </w:r>
      <w:r>
        <w:rPr>
          <w:b/>
          <w:sz w:val="26"/>
          <w:szCs w:val="26"/>
        </w:rPr>
        <w:t>бразование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(подразделы 0705 «Профессиональная подготовка, переподготовка и повышение квалификации» и 0707 «Молодёжная политика») при плановых назначениях в сумме 325,5 тыс. рублей расходы не производились.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0800 «</w:t>
      </w:r>
      <w:r>
        <w:rPr>
          <w:b/>
          <w:sz w:val="26"/>
          <w:szCs w:val="26"/>
        </w:rPr>
        <w:t xml:space="preserve">Культура, кинематография» </w:t>
      </w:r>
      <w:r>
        <w:rPr>
          <w:sz w:val="26"/>
          <w:szCs w:val="26"/>
        </w:rPr>
        <w:t xml:space="preserve">(подраздел                  0801 «Культура»)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расходы составили 2 149,3 тыс. рублей или 31,5% в общей сумме расходов. План годовых назначений выполнен на 21,2%. В том числе расходы на обеспечение деятельности Дома культуры – 1 662,9 тыс. рублей, библиотеки – 305,8 тыс. рублей. Расходы на проведение культурно-массовых мероприятий составили 179,0 тыс. рублей, на уплату налогов – 1,6 тыс. рублей.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1000 «Социальная политика» (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подраздел 1001 «Пенсионное обеспечение») расходы составили 164,2 тыс. рублей или 2,4% в общей сумме расходов. План годовых назначений выполнен на 23,0%, в том числе по подразделам расходы составили: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1001 «Пенсионное обеспечение» - 164,2 тыс. рублей, план годовых назначений выполнен на 37,5%;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1004 «Охрана семьи и детства» при запланированных назначениях в сумме 275,4 тыс. рублей фактические расходы не производились.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1100 «</w:t>
      </w:r>
      <w:r>
        <w:rPr>
          <w:b/>
          <w:sz w:val="26"/>
          <w:szCs w:val="26"/>
        </w:rPr>
        <w:t xml:space="preserve">Физическая культура и спорт» </w:t>
      </w:r>
      <w:r>
        <w:rPr>
          <w:sz w:val="26"/>
          <w:szCs w:val="26"/>
        </w:rPr>
        <w:t xml:space="preserve">(подраздел              1102 «Массовый спорт»)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расходы составили 42,1 тыс. рублей или 0,6% в общей сумме расходов. План годовых назначений выполнен на 6,5%.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2"/>
          <w:szCs w:val="26"/>
        </w:rPr>
      </w:pPr>
      <w:r>
        <w:rPr>
          <w:rFonts w:cs="Times New Roman CYR" w:ascii="Times New Roman CYR" w:hAnsi="Times New Roman CYR"/>
          <w:bCs/>
          <w:iCs/>
          <w:sz w:val="22"/>
          <w:szCs w:val="26"/>
        </w:rPr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/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40640</wp:posOffset>
            </wp:positionH>
            <wp:positionV relativeFrom="paragraph">
              <wp:posOffset>511810</wp:posOffset>
            </wp:positionV>
            <wp:extent cx="5780405" cy="1859915"/>
            <wp:effectExtent l="0" t="0" r="0" b="0"/>
            <wp:wrapSquare wrapText="bothSides"/>
            <wp:docPr id="3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  <w:t>Э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кономическая структура расходов бюджета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поселения характеризуется следующими показателями (рисунок 3).</w:t>
      </w:r>
    </w:p>
    <w:p>
      <w:pPr>
        <w:pStyle w:val="Normal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Рис. 3. Экономическая структура расходов бюджета Кировского сельского поселения за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квартал 2024</w:t>
      </w:r>
      <w:r>
        <w:rPr>
          <w:sz w:val="26"/>
          <w:szCs w:val="26"/>
        </w:rPr>
        <w:t xml:space="preserve"> </w:t>
      </w:r>
      <w:r>
        <w:rPr>
          <w:b/>
          <w:sz w:val="24"/>
          <w:szCs w:val="24"/>
        </w:rPr>
        <w:t>года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выплаты персоналу и взносы по обязательному социальному страхованию сумма расходов составила 2 578,7 тыс. рублей или 37,8% в общей сумме расходов бюджета.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закупку товаров, работ и услуг для муниципальных нужд расходы составили 3 951,6 тыс. рублей или 58,0%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социальное обеспечение и иные выплаты населению расходы составили 164,2 тыс. рублей или 2,4%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межбюджетный трансферт в муниципальный район по Соглашению о передаче части полномочий поселения муниципальному району сумма расходов составила 118,5 тыс. рублей или 1,7%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иные бюджетные ассигнования сумма расходов составила 7,7 тыс. рублей или 0,1</w:t>
      </w:r>
      <w:bookmarkStart w:id="3" w:name="_GoBack"/>
      <w:bookmarkEnd w:id="3"/>
      <w:r>
        <w:rPr>
          <w:sz w:val="26"/>
          <w:szCs w:val="26"/>
        </w:rPr>
        <w:t xml:space="preserve">% в общей сумме расходов бюджета. </w:t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Normal"/>
        <w:ind w:hanging="0"/>
        <w:jc w:val="center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Источники финансирования дефицита бюджета</w:t>
      </w:r>
    </w:p>
    <w:p>
      <w:pPr>
        <w:pStyle w:val="Normal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Бюджет Кировского сельского поселения за </w:t>
      </w:r>
      <w:r>
        <w:rPr>
          <w:rFonts w:cs="Times New Roman" w:ascii="Times New Roman" w:hAnsi="Times New Roman"/>
          <w:sz w:val="26"/>
          <w:szCs w:val="26"/>
        </w:rPr>
        <w:t>I квартал</w:t>
      </w:r>
      <w:r>
        <w:rPr>
          <w:rFonts w:ascii="Times New Roman" w:hAnsi="Times New Roman"/>
          <w:sz w:val="26"/>
          <w:szCs w:val="26"/>
        </w:rPr>
        <w:t xml:space="preserve"> 2024 года исполнен с превышением расходов над доходами (дефицит бюджета) в размере -1 719,6 тыс. рублей.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финансового органа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Кировского сельского поселения</w:t>
        <w:tab/>
        <w:tab/>
        <w:tab/>
        <w:tab/>
        <w:t xml:space="preserve">                Н. Е. Игнатова</w:t>
      </w:r>
    </w:p>
    <w:p>
      <w:pPr>
        <w:pStyle w:val="Normal"/>
        <w:jc w:val="center"/>
        <w:rPr>
          <w:sz w:val="26"/>
          <w:szCs w:val="26"/>
        </w:rPr>
      </w:pPr>
      <w:r>
        <w:rPr/>
      </w:r>
    </w:p>
    <w:sectPr>
      <w:footerReference w:type="default" r:id="rId5"/>
      <w:type w:val="nextPage"/>
      <w:pgSz w:w="11906" w:h="16838"/>
      <w:pgMar w:left="1701" w:right="1134" w:header="0" w:top="1134" w:footer="709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70159444"/>
    </w:sdtPr>
    <w:sdtContent>
      <w:p>
        <w:pPr>
          <w:pStyle w:val="Style27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Style27"/>
      <w:rPr/>
    </w:pPr>
    <w:r>
      <w:rPr/>
    </w:r>
  </w:p>
</w:ftr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c6b63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2"/>
    <w:basedOn w:val="Normal"/>
    <w:next w:val="Normal"/>
    <w:link w:val="20"/>
    <w:qFormat/>
    <w:rsid w:val="004424ee"/>
    <w:pPr>
      <w:keepNext w:val="true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link w:val="a5"/>
    <w:qFormat/>
    <w:rsid w:val="00733dcd"/>
    <w:rPr>
      <w:rFonts w:ascii="Tahoma" w:hAnsi="Tahoma" w:cs="Tahoma"/>
      <w:sz w:val="16"/>
      <w:szCs w:val="16"/>
    </w:rPr>
  </w:style>
  <w:style w:type="character" w:styleId="Style14" w:customStyle="1">
    <w:name w:val="Нижний колонтитул Знак"/>
    <w:basedOn w:val="DefaultParagraphFont"/>
    <w:link w:val="a9"/>
    <w:uiPriority w:val="99"/>
    <w:qFormat/>
    <w:rsid w:val="000b4fb1"/>
    <w:rPr/>
  </w:style>
  <w:style w:type="character" w:styleId="21" w:customStyle="1">
    <w:name w:val="Заголовок 2 Знак"/>
    <w:link w:val="2"/>
    <w:qFormat/>
    <w:rsid w:val="00cc6b63"/>
    <w:rPr>
      <w:sz w:val="28"/>
    </w:rPr>
  </w:style>
  <w:style w:type="character" w:styleId="Style15" w:customStyle="1">
    <w:name w:val="Основной текст Знак"/>
    <w:basedOn w:val="DefaultParagraphFont"/>
    <w:link w:val="ac"/>
    <w:qFormat/>
    <w:rsid w:val="006d56d6"/>
    <w:rPr/>
  </w:style>
  <w:style w:type="character" w:styleId="Style16" w:customStyle="1">
    <w:name w:val="Основной текст_"/>
    <w:basedOn w:val="DefaultParagraphFont"/>
    <w:link w:val="1"/>
    <w:qFormat/>
    <w:rsid w:val="009f74d3"/>
    <w:rPr>
      <w:sz w:val="24"/>
      <w:szCs w:val="24"/>
      <w:shd w:fill="FFFFFF" w:val="clear"/>
    </w:rPr>
  </w:style>
  <w:style w:type="character" w:styleId="Style17" w:customStyle="1">
    <w:name w:val="Основной текст + Полужирный"/>
    <w:basedOn w:val="Style16"/>
    <w:qFormat/>
    <w:rsid w:val="009f74d3"/>
    <w:rPr>
      <w:b/>
      <w:bCs/>
      <w:sz w:val="24"/>
      <w:szCs w:val="24"/>
      <w:shd w:fill="FFFFFF" w:val="clear"/>
    </w:rPr>
  </w:style>
  <w:style w:type="character" w:styleId="Style18" w:customStyle="1">
    <w:name w:val="Текст Знак"/>
    <w:basedOn w:val="DefaultParagraphFont"/>
    <w:link w:val="af0"/>
    <w:qFormat/>
    <w:rsid w:val="006a0d97"/>
    <w:rPr>
      <w:rFonts w:ascii="Courier New" w:hAnsi="Courier New"/>
      <w:lang w:val="x-none" w:eastAsia="x-non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link w:val="ad"/>
    <w:rsid w:val="006d56d6"/>
    <w:pPr>
      <w:spacing w:before="0" w:after="12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Body Text Indent"/>
    <w:basedOn w:val="Normal"/>
    <w:rsid w:val="004424ee"/>
    <w:pPr>
      <w:ind w:firstLine="567"/>
      <w:jc w:val="both"/>
    </w:pPr>
    <w:rPr>
      <w:sz w:val="28"/>
    </w:rPr>
  </w:style>
  <w:style w:type="paragraph" w:styleId="BodyTextIndent3">
    <w:name w:val="Body Text Indent 3"/>
    <w:basedOn w:val="Normal"/>
    <w:qFormat/>
    <w:rsid w:val="004424ee"/>
    <w:pPr>
      <w:ind w:firstLine="567"/>
      <w:jc w:val="center"/>
    </w:pPr>
    <w:rPr>
      <w:sz w:val="28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Header"/>
    <w:basedOn w:val="Normal"/>
    <w:rsid w:val="00de3d3a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ConsNormal" w:customStyle="1">
    <w:name w:val="ConsNormal"/>
    <w:qFormat/>
    <w:rsid w:val="007c08a1"/>
    <w:pPr>
      <w:widowControl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6"/>
    <w:qFormat/>
    <w:rsid w:val="00733dcd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b26a9"/>
    <w:pPr>
      <w:spacing w:beforeAutospacing="1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93a33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27">
    <w:name w:val="Footer"/>
    <w:basedOn w:val="Normal"/>
    <w:link w:val="aa"/>
    <w:uiPriority w:val="99"/>
    <w:rsid w:val="000b4f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сновной текст1"/>
    <w:basedOn w:val="Normal"/>
    <w:link w:val="ae"/>
    <w:qFormat/>
    <w:rsid w:val="009f74d3"/>
    <w:pPr>
      <w:shd w:val="clear" w:color="auto" w:fill="FFFFFF"/>
      <w:spacing w:lineRule="exact" w:line="298"/>
      <w:jc w:val="both"/>
    </w:pPr>
    <w:rPr>
      <w:sz w:val="24"/>
      <w:szCs w:val="24"/>
    </w:rPr>
  </w:style>
  <w:style w:type="paragraph" w:styleId="PlainText">
    <w:name w:val="Plain Text"/>
    <w:basedOn w:val="Normal"/>
    <w:link w:val="af1"/>
    <w:qFormat/>
    <w:rsid w:val="006a0d97"/>
    <w:pPr/>
    <w:rPr>
      <w:rFonts w:ascii="Courier New" w:hAnsi="Courier New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cc6b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chart" Target="charts/chart2.xml"/><Relationship Id="rId4" Type="http://schemas.openxmlformats.org/officeDocument/2006/relationships/chart" Target="charts/chart3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1.xlsx"/>
</Relationships>
</file>

<file path=word/charts/_rels/chart2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2.xlsx"/>
</Relationships>
</file>

<file path=word/charts/_rels/chart3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3.xlsx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30"/>
      <c:rotY val="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1805625"/>
          <c:y val="0.260444444444444"/>
          <c:w val="0.660375"/>
          <c:h val="0.604666666666667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explosion val="12"/>
          <c:dPt>
            <c:idx val="0"/>
            <c:explosion val="21"/>
            <c:spPr>
              <a:solidFill>
                <a:srgbClr val="4672a8"/>
              </a:solidFill>
              <a:ln w="0">
                <a:noFill/>
              </a:ln>
            </c:spPr>
          </c:dPt>
          <c:dPt>
            <c:idx val="1"/>
            <c:explosion val="12"/>
            <c:spPr>
              <a:solidFill>
                <a:srgbClr val="ab4744"/>
              </a:solidFill>
              <a:ln w="0">
                <a:noFill/>
              </a:ln>
            </c:spPr>
          </c:dPt>
          <c:dPt>
            <c:idx val="2"/>
            <c:explosion val="12"/>
            <c:spPr>
              <a:solidFill>
                <a:srgbClr val="8aa64f"/>
              </a:solidFill>
              <a:ln w="0">
                <a:noFill/>
              </a:ln>
            </c:spPr>
          </c:dPt>
          <c:dPt>
            <c:idx val="3"/>
            <c:explosion val="12"/>
            <c:spPr>
              <a:solidFill>
                <a:srgbClr val="725990"/>
              </a:solidFill>
              <a:ln w="0">
                <a:noFill/>
              </a:ln>
            </c:spPr>
          </c:dPt>
          <c:dPt>
            <c:idx val="4"/>
            <c:explosion val="12"/>
            <c:spPr>
              <a:solidFill>
                <a:srgbClr val="4299b0"/>
              </a:solidFill>
              <a:ln w="0">
                <a:noFill/>
              </a:ln>
            </c:spPr>
          </c:dPt>
          <c:dPt>
            <c:idx val="5"/>
            <c:explosion val="12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explosion val="12"/>
            <c:spPr>
              <a:solidFill>
                <a:srgbClr val="93a9ce"/>
              </a:solidFill>
              <a:ln w="0">
                <a:noFill/>
              </a:ln>
            </c:spPr>
          </c:dPt>
          <c:dPt>
            <c:idx val="7"/>
            <c:explosion val="12"/>
            <c:spPr>
              <a:solidFill>
                <a:srgbClr val="d09493"/>
              </a:soli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1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2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3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4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5"/>
              <c:numFmt formatCode="0.0%" sourceLinked="0"/>
              <c:txPr>
                <a:bodyPr wrap="square"/>
                <a:lstStyle/>
                <a:p>
                  <a:pPr>
                    <a:defRPr b="0" sz="9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00" spc="-1" strike="noStrike">
                        <a:solidFill>
                          <a:srgbClr val="000000"/>
                        </a:solidFill>
                        <a:latin typeface="Calibri"/>
                      </a:rPr>
                      <a:t>Штрафы, санкции, возмещение ущерба
1,9%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6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
</c:separator>
            </c:dLbl>
            <c:dLbl>
              <c:idx val="7"/>
              <c:numFmt formatCode="0.0%" sourceLinked="0"/>
              <c:txPr>
                <a:bodyPr wrap="square"/>
                <a:lstStyle/>
                <a:p>
                  <a:pPr>
                    <a:defRPr b="0" sz="9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00" spc="-1" strike="noStrike">
                        <a:solidFill>
                          <a:srgbClr val="000000"/>
                        </a:solidFill>
                        <a:latin typeface="Calibri"/>
                      </a:rPr>
                      <a:t>Доходы от оказания платных услуг и компенсации затрат государства 1</a:t>
                    </a:r>
                    <a:r>
                      <a:rPr b="0" sz="900" spc="-1" strike="noStrike">
                        <a:solidFill>
                          <a:srgbClr val="000000"/>
                        </a:solidFill>
                        <a:latin typeface="Calibri"/>
                      </a:rPr>
                      <a:t>,</a:t>
                    </a:r>
                    <a:r>
                      <a:rPr b="0" sz="900" spc="-1" strike="noStrike">
                        <a:solidFill>
                          <a:srgbClr val="000000"/>
                        </a:solidFill>
                        <a:latin typeface="Calibri"/>
                      </a:rPr>
                      <a:t>9</a:t>
                    </a:r>
                    <a:r>
                      <a:rPr b="0" sz="900" spc="-1" strike="noStrike">
                        <a:solidFill>
                          <a:srgbClr val="000000"/>
                        </a:solidFill>
                        <a:latin typeface="Calibri"/>
                      </a:rPr>
                      <a:t>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0"/>
            <c:showCatName val="1"/>
            <c:showSerName val="0"/>
            <c:showPercent val="1"/>
            <c:separator>
</c:separator>
            <c:showLeaderLines val="0"/>
          </c:dLbls>
          <c:cat>
            <c:strRef>
              <c:f>categories</c:f>
              <c:strCache>
                <c:ptCount val="8"/>
                <c:pt idx="0">
                  <c:v>НДФЛ</c:v>
                </c:pt>
                <c:pt idx="1">
                  <c:v>Акцизы</c:v>
                </c:pt>
                <c:pt idx="2">
                  <c:v>ЕСХН</c:v>
                </c:pt>
                <c:pt idx="3">
                  <c:v>Налоги на имущество </c:v>
                </c:pt>
                <c:pt idx="4">
                  <c:v>Доходы от использования имущества</c:v>
                </c:pt>
                <c:pt idx="5">
                  <c:v>Доходы от оказания платных услуг и компенсации затрат государства</c:v>
                </c:pt>
                <c:pt idx="6">
                  <c:v>Штрафы</c:v>
                </c:pt>
                <c:pt idx="7">
                  <c:v/>
                </c:pt>
              </c:strCache>
            </c:strRef>
          </c:cat>
          <c:val>
            <c:numRef>
              <c:f>0</c:f>
              <c:numCache>
                <c:formatCode>General</c:formatCode>
                <c:ptCount val="8"/>
                <c:pt idx="0">
                  <c:v>0.591865025696511</c:v>
                </c:pt>
                <c:pt idx="1">
                  <c:v>0.134906681092778</c:v>
                </c:pt>
                <c:pt idx="2">
                  <c:v>0.00530835812821206</c:v>
                </c:pt>
                <c:pt idx="3">
                  <c:v>0.167297809034352</c:v>
                </c:pt>
                <c:pt idx="4">
                  <c:v>0.0627197727887476</c:v>
                </c:pt>
                <c:pt idx="5">
                  <c:v>0.0184947254530701</c:v>
                </c:pt>
                <c:pt idx="6">
                  <c:v>0.0194076278063295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50"/>
      <c:rotY val="28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0069375"/>
          <c:y val="0.110555555555556"/>
          <c:w val="0.9930625"/>
          <c:h val="0.889444444444444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I кв. 2024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0"/>
          <c:dPt>
            <c:idx val="0"/>
            <c:explosion val="4"/>
            <c:spPr>
              <a:solidFill>
                <a:srgbClr val="558ed5"/>
              </a:solidFill>
              <a:ln w="0">
                <a:noFill/>
              </a:ln>
            </c:spPr>
          </c:dPt>
          <c:dPt>
            <c:idx val="1"/>
            <c:explosion val="11"/>
            <c:spPr>
              <a:solidFill>
                <a:srgbClr val="e46c0a"/>
              </a:solidFill>
              <a:ln w="0">
                <a:noFill/>
              </a:ln>
            </c:spPr>
          </c:dPt>
          <c:dPt>
            <c:idx val="2"/>
            <c:spPr>
              <a:solidFill>
                <a:srgbClr val="00b050"/>
              </a:solidFill>
              <a:ln w="0">
                <a:noFill/>
              </a:ln>
            </c:spPr>
          </c:dPt>
          <c:dPt>
            <c:idx val="3"/>
            <c:explosion val="31"/>
            <c:spPr>
              <a:solidFill>
                <a:srgbClr val="7030a0"/>
              </a:solidFill>
              <a:ln w="0">
                <a:noFill/>
              </a:ln>
            </c:spPr>
          </c:dPt>
          <c:dPt>
            <c:idx val="4"/>
            <c:explosion val="4"/>
            <c:spPr>
              <a:solidFill>
                <a:srgbClr val="00b0f0"/>
              </a:solidFill>
              <a:ln w="0">
                <a:noFill/>
              </a:ln>
            </c:spPr>
          </c:dPt>
          <c:dPt>
            <c:idx val="5"/>
            <c:explosion val="44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explosion val="1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7"/>
            <c:explosion val="32"/>
            <c:spPr>
              <a:solidFill>
                <a:srgbClr val="ffff00"/>
              </a:solidFill>
              <a:ln w="0">
                <a:noFill/>
              </a:ln>
            </c:spPr>
          </c:dPt>
          <c:dLbls>
            <c:numFmt formatCode="#,##0.0" sourceLinked="0"/>
            <c:dLbl>
              <c:idx val="0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Общегосударственные вопросы 24,1%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1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оборона 0,6%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2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экономика 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
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13,7%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3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Физическая культура и спорт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
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0,6%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4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ЖКХ 22,0%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5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безопасность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
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5,1%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6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Культура, кинематография 31,5%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7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Социальная политика 2,4%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8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экономика</c:v>
                </c:pt>
                <c:pt idx="3">
                  <c:v>Физическая культура</c:v>
                </c:pt>
                <c:pt idx="4">
                  <c:v>ЖКХ</c:v>
                </c:pt>
                <c:pt idx="5">
                  <c:v>Национальная безопасность</c:v>
                </c:pt>
                <c:pt idx="6">
                  <c:v>Культура</c:v>
                </c:pt>
                <c:pt idx="7">
                  <c:v>Социальная политика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8"/>
                <c:pt idx="0">
                  <c:v>1642</c:v>
                </c:pt>
                <c:pt idx="1">
                  <c:v>37.8</c:v>
                </c:pt>
                <c:pt idx="2">
                  <c:v>935.9</c:v>
                </c:pt>
                <c:pt idx="3">
                  <c:v>42.1</c:v>
                </c:pt>
                <c:pt idx="4">
                  <c:v>1499.6</c:v>
                </c:pt>
                <c:pt idx="5">
                  <c:v>349.8</c:v>
                </c:pt>
                <c:pt idx="6">
                  <c:v>2149.3</c:v>
                </c:pt>
                <c:pt idx="7">
                  <c:v>164.2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explosion val="0"/>
          <c:dPt>
            <c:idx val="0"/>
            <c:spPr>
              <a:solidFill>
                <a:srgbClr val="4672a8"/>
              </a:solidFill>
              <a:ln w="0">
                <a:noFill/>
              </a:ln>
            </c:spPr>
          </c:dPt>
          <c:dPt>
            <c:idx val="1"/>
            <c:spPr>
              <a:solidFill>
                <a:srgbClr val="ab4744"/>
              </a:solidFill>
              <a:ln w="0">
                <a:noFill/>
              </a:ln>
            </c:spPr>
          </c:dPt>
          <c:dPt>
            <c:idx val="2"/>
            <c:spPr>
              <a:solidFill>
                <a:srgbClr val="8aa64f"/>
              </a:solidFill>
              <a:ln w="0">
                <a:noFill/>
              </a:ln>
            </c:spPr>
          </c:dPt>
          <c:dPt>
            <c:idx val="3"/>
            <c:spPr>
              <a:solidFill>
                <a:srgbClr val="725990"/>
              </a:solidFill>
              <a:ln w="0">
                <a:noFill/>
              </a:ln>
            </c:spPr>
          </c:dPt>
          <c:dPt>
            <c:idx val="4"/>
            <c:spPr>
              <a:solidFill>
                <a:srgbClr val="4299b0"/>
              </a:solidFill>
              <a:ln w="0">
                <a:noFill/>
              </a:ln>
            </c:spPr>
          </c:dPt>
          <c:dPt>
            <c:idx val="5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spPr>
              <a:solidFill>
                <a:srgbClr val="93a9ce"/>
              </a:solidFill>
              <a:ln w="0">
                <a:noFill/>
              </a:ln>
            </c:spPr>
          </c:dPt>
          <c:dPt>
            <c:idx val="7"/>
            <c:spPr>
              <a:solidFill>
                <a:srgbClr val="d09493"/>
              </a:solidFill>
              <a:ln w="0">
                <a:noFill/>
              </a:ln>
            </c:spPr>
          </c:dPt>
          <c:dLbls>
            <c:dLbl>
              <c:idx val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1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2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3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4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5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6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7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0"/>
            <c:showCatName val="0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8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экономика</c:v>
                </c:pt>
                <c:pt idx="3">
                  <c:v>Физическая культура</c:v>
                </c:pt>
                <c:pt idx="4">
                  <c:v>ЖКХ</c:v>
                </c:pt>
                <c:pt idx="5">
                  <c:v>Национальная безопасность</c:v>
                </c:pt>
                <c:pt idx="6">
                  <c:v>Культура</c:v>
                </c:pt>
                <c:pt idx="7">
                  <c:v>Социальная политика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8"/>
                <c:pt idx="0">
                  <c:v>0.240737754189453</c:v>
                </c:pt>
                <c:pt idx="1">
                  <c:v>0.00554195317196182</c:v>
                </c:pt>
                <c:pt idx="2">
                  <c:v>0.137214655387277</c:v>
                </c:pt>
                <c:pt idx="3">
                  <c:v>0.00617238699840192</c:v>
                </c:pt>
                <c:pt idx="4">
                  <c:v>0.219860131658041</c:v>
                </c:pt>
                <c:pt idx="5">
                  <c:v>0.0512850587183134</c:v>
                </c:pt>
                <c:pt idx="6">
                  <c:v>0.315114284457607</c:v>
                </c:pt>
                <c:pt idx="7">
                  <c:v>0.0240737754189453</c:v>
                </c:pt>
              </c:numCache>
            </c:numRef>
          </c:val>
        </c:ser>
      </c:pie3DChart>
    </c:plotArea>
    <c:plotVisOnly val="1"/>
    <c:dispBlanksAs val="gap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40"/>
      <c:rotY val="10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6.25E-005"/>
          <c:y val="0"/>
          <c:w val="0.994"/>
          <c:h val="0.984333333333333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5"/>
          <c:dPt>
            <c:idx val="0"/>
            <c:explosion val="2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1"/>
            <c:explosion val="43"/>
            <c:spPr>
              <a:solidFill>
                <a:srgbClr val="ffff00"/>
              </a:solidFill>
              <a:ln w="0">
                <a:noFill/>
              </a:ln>
            </c:spPr>
          </c:dPt>
          <c:dPt>
            <c:idx val="2"/>
            <c:explosion val="31"/>
            <c:spPr>
              <a:solidFill>
                <a:srgbClr val="92d050"/>
              </a:solidFill>
              <a:ln w="0">
                <a:noFill/>
              </a:ln>
            </c:spPr>
          </c:dPt>
          <c:dPt>
            <c:idx val="3"/>
            <c:explosion val="30"/>
            <c:spPr>
              <a:solidFill>
                <a:srgbClr val="b9cde5"/>
              </a:solidFill>
              <a:ln w="0">
                <a:noFill/>
              </a:ln>
            </c:spPr>
          </c:dPt>
          <c:dPt>
            <c:idx val="4"/>
            <c:explosion val="6"/>
            <c:spPr>
              <a:solidFill>
                <a:srgbClr val="ff66ff"/>
              </a:soli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Оплата труда и взносов по соц. страхованию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37,8%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 </c:separator>
            </c:dLbl>
            <c:dLbl>
              <c:idx val="1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Социальное обеспечение 2,4%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 </c:separator>
            </c:dLbl>
            <c:dLbl>
              <c:idx val="2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Закупка для муниципальных нужд 58,0%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 </c:separator>
            </c:dLbl>
            <c:dLbl>
              <c:idx val="3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Межбюджетные трансферты 1,7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 </c:separator>
            </c:dLbl>
            <c:dLbl>
              <c:idx val="4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Иные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бюджетные ассигнования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0,1%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eparator> </c:separator>
            </c:dLbl>
            <c:txPr>
              <a:bodyPr wrap="square"/>
              <a:lstStyle/>
              <a:p>
                <a:pPr>
                  <a:defRPr b="0" sz="999" spc="-1" strike="noStrike">
                    <a:solidFill>
                      <a:srgbClr val="000000"/>
                    </a:solidFill>
                    <a:latin typeface="Calibri"/>
                    <a:ea typeface="Calibri"/>
                  </a:defRPr>
                </a:pPr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eparator> </c:separator>
            <c:showLeaderLines val="0"/>
          </c:dLbls>
          <c:cat>
            <c:strRef>
              <c:f>categories</c:f>
              <c:strCache>
                <c:ptCount val="5"/>
                <c:pt idx="0">
                  <c:v>Расходы на  выплаты персоналу и взносы по обязательному социальному страхованию</c:v>
                </c:pt>
                <c:pt idx="1">
                  <c:v>Социальное обеспечение</c:v>
                </c:pt>
                <c:pt idx="2">
                  <c:v>Закупка для муниципальных нужд</c:v>
                </c:pt>
                <c:pt idx="3">
                  <c:v>Межбюджетные трансферты</c:v>
                </c:pt>
                <c:pt idx="4">
                  <c:v>Иные бюджетные ассигнования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5"/>
                <c:pt idx="0">
                  <c:v>0.378069699590951</c:v>
                </c:pt>
                <c:pt idx="1">
                  <c:v>0.0240737754189453</c:v>
                </c:pt>
                <c:pt idx="2">
                  <c:v>0.579354025246676</c:v>
                </c:pt>
                <c:pt idx="3">
                  <c:v>0.017373583356547</c:v>
                </c:pt>
                <c:pt idx="4">
                  <c:v>0.00112891638688111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0231D65-AD70-4F80-BD62-8ED7D6C6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Application>LibreOffice/7.0.1.2$Windows_X86_64 LibreOffice_project/7cbcfc562f6eb6708b5ff7d7397325de9e764452</Application>
  <Pages>6</Pages>
  <Words>1697</Words>
  <Characters>10817</Characters>
  <CharactersWithSpaces>12496</CharactersWithSpaces>
  <Paragraphs>132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2017-04-11T12:45:00Z</dcterms:created>
  <dc:creator>User</dc:creator>
  <dc:description/>
  <dc:language>ru-RU</dc:language>
  <cp:lastModifiedBy/>
  <cp:lastPrinted>2022-04-12T07:31:00Z</cp:lastPrinted>
  <dcterms:modified xsi:type="dcterms:W3CDTF">2024-10-21T15:45:19Z</dcterms:modified>
  <cp:revision>194</cp:revision>
  <dc:subject/>
  <dc:title>                                  Пояснительная записка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